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1001100</wp:posOffset>
                </wp:positionH>
                <wp:positionV relativeFrom="paragraph">
                  <wp:posOffset>-284225</wp:posOffset>
                </wp:positionV>
                <wp:extent cx="5648325" cy="274304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1099168" name="Picture 1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648324" cy="27430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page;margin-left:78.83pt;mso-position-horizontal:absolute;mso-position-vertical-relative:text;margin-top:-22.38pt;mso-position-vertical:absolute;width:444.75pt;height:215.99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0" w:right="0" w:firstLine="0"/>
        <w:jc w:val="both"/>
        <w:spacing w:before="0" w:after="150" w:line="360" w:lineRule="atLeast"/>
        <w:rPr>
          <w:rFonts w:ascii="Times New Roman" w:hAnsi="Times New Roman" w:cs="Times New Roman"/>
          <w:b/>
          <w:bCs/>
          <w:color w:val="001d3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</w:p>
    <w:p>
      <w:pPr>
        <w:ind w:left="0" w:right="0" w:firstLine="0"/>
        <w:jc w:val="both"/>
        <w:spacing w:before="0" w:after="150" w:line="360" w:lineRule="atLeast"/>
        <w:rPr>
          <w:rFonts w:ascii="Times New Roman" w:hAnsi="Times New Roman" w:cs="Times New Roman"/>
          <w:b/>
          <w:bCs/>
          <w:color w:val="001d3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</w:p>
    <w:p>
      <w:pPr>
        <w:ind w:left="0" w:right="0" w:firstLine="0"/>
        <w:jc w:val="both"/>
        <w:spacing w:before="0" w:after="150" w:line="360" w:lineRule="atLeast"/>
        <w:rPr>
          <w:rFonts w:ascii="Times New Roman" w:hAnsi="Times New Roman" w:cs="Times New Roman"/>
          <w:b/>
          <w:bCs/>
          <w:color w:val="001d3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</w:p>
    <w:p>
      <w:pPr>
        <w:ind w:left="0" w:right="0" w:firstLine="0"/>
        <w:jc w:val="both"/>
        <w:spacing w:before="0" w:after="150" w:line="360" w:lineRule="atLeast"/>
        <w:rPr>
          <w:rFonts w:ascii="Times New Roman" w:hAnsi="Times New Roman" w:cs="Times New Roman"/>
          <w:b/>
          <w:bCs/>
          <w:color w:val="001d3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</w:p>
    <w:p>
      <w:pPr>
        <w:ind w:left="0" w:right="0" w:firstLine="0"/>
        <w:jc w:val="both"/>
        <w:spacing w:before="0" w:after="150" w:line="360" w:lineRule="atLeast"/>
        <w:rPr>
          <w:rFonts w:ascii="Times New Roman" w:hAnsi="Times New Roman" w:cs="Times New Roman"/>
          <w:b/>
          <w:bCs/>
          <w:color w:val="001d3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1d35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1d35"/>
          <w:sz w:val="28"/>
          <w:szCs w:val="28"/>
        </w:rPr>
      </w:r>
    </w:p>
    <w:p>
      <w:pPr>
        <w:ind w:left="0" w:right="0" w:firstLine="0"/>
        <w:jc w:val="both"/>
        <w:spacing w:before="0" w:after="150"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150" w:line="360" w:lineRule="atLeast"/>
        <w:rPr>
          <w:rFonts w:ascii="Times New Roman" w:hAnsi="Times New Roman" w:eastAsia="Times New Roman" w:cs="Times New Roman"/>
          <w:color w:val="001d3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1d3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1d35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150" w:line="360" w:lineRule="atLeast"/>
        <w:rPr>
          <w:rFonts w:ascii="Times New Roman" w:hAnsi="Times New Roman" w:cs="Times New Roman"/>
          <w:b/>
          <w:bCs/>
          <w:i w:val="0"/>
          <w:iCs w:val="0"/>
          <w:color w:val="001d35"/>
          <w:sz w:val="44"/>
          <w:szCs w:val="4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1d35"/>
          <w:sz w:val="44"/>
          <w:szCs w:val="44"/>
          <w:highlight w:val="none"/>
        </w:rPr>
        <w:t xml:space="preserve">Туляремия—- актуальная проблема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1d35"/>
          <w:sz w:val="44"/>
          <w:szCs w:val="4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001d35"/>
          <w:sz w:val="44"/>
          <w:szCs w:val="44"/>
          <w:highlight w:val="none"/>
        </w:rPr>
      </w:r>
    </w:p>
    <w:p>
      <w:pPr>
        <w:ind w:left="0" w:right="0" w:firstLine="0"/>
        <w:jc w:val="left"/>
        <w:spacing w:before="0" w:after="150" w:line="360" w:lineRule="atLeast"/>
        <w:rPr>
          <w:rFonts w:ascii="Times New Roman" w:hAnsi="Times New Roman" w:cs="Times New Roman"/>
          <w:b w:val="0"/>
          <w:bCs w:val="0"/>
          <w:i w:val="0"/>
          <w:iCs w:val="0"/>
          <w:color w:val="001d3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  <w:t xml:space="preserve">Туляремия — это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  <w:t xml:space="preserve">особо опасная природно-очаговая бактериальная инфекция, которая передается людям от грызунов и других животных, а также через насекомых- переносчиков.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1d35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150" w:line="360" w:lineRule="atLeast"/>
        <w:rPr>
          <w:rFonts w:ascii="Times New Roman" w:hAnsi="Times New Roman" w:cs="Times New Roman"/>
          <w:b w:val="0"/>
          <w:bCs w:val="0"/>
          <w:i w:val="0"/>
          <w:iCs w:val="0"/>
          <w:color w:val="001d3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  <w:t xml:space="preserve">Заболевание характеризуется высокой лихорадкой, интоксикацией, увеличением лимфатических узлов и поражением кожи, глаз, легких или кишечника, в зависимости от пути заражения.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1d35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300" w:after="150" w:line="420" w:lineRule="atLeast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  <w:t xml:space="preserve">Возбудитель и переносчики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84"/>
        <w:numPr>
          <w:ilvl w:val="0"/>
          <w:numId w:val="1"/>
        </w:numPr>
        <w:ind w:right="0"/>
        <w:jc w:val="left"/>
        <w:spacing w:before="0" w:after="120" w:line="360" w:lineRule="atLeast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  <w:t xml:space="preserve">Возбудитель: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  <w:t xml:space="preserve">Бактерия Francisella tularensis.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84"/>
        <w:numPr>
          <w:ilvl w:val="0"/>
          <w:numId w:val="1"/>
        </w:numPr>
        <w:ind w:right="0"/>
        <w:jc w:val="left"/>
        <w:spacing w:before="0" w:after="120" w:line="360" w:lineRule="atLeast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  <w:t xml:space="preserve">Источник инфекции: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  <w:t xml:space="preserve">Грызуны (зайцы, кролики, мыши, крысы), а также некоторые виды птиц, рыб, овец, свиней.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84"/>
        <w:numPr>
          <w:ilvl w:val="0"/>
          <w:numId w:val="1"/>
        </w:numPr>
        <w:ind w:right="0"/>
        <w:jc w:val="left"/>
        <w:spacing w:before="0" w:after="0" w:line="360" w:lineRule="atLeast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  <w:t xml:space="preserve">Переносчики: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1d35"/>
          <w:sz w:val="28"/>
          <w:szCs w:val="28"/>
        </w:rPr>
        <w:t xml:space="preserve">Кровососущие насекомые (клещи, комары, слепни), а также контакт с инфицированными животными, их трупами, зараженной водой или пылью.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ind w:right="0"/>
        <w:jc w:val="left"/>
        <w:spacing w:before="0" w:after="0" w:line="360" w:lineRule="atLeast"/>
        <w:rPr>
          <w:rFonts w:ascii="Times New Roman" w:hAnsi="Times New Roman" w:cs="Times New Roman"/>
          <w:bCs w:val="0"/>
          <w:i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Больные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животные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своими выделениями заражают окружающую среду, пищевые продукты, овощи, зерно, сено, предметы домашнего обихода. Попадая в непроточные водоёмы (озёра, пруды и т.д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.),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они заражают воду.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765" cy="253501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977511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940765" cy="2535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8pt;height:199.6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ind w:left="709" w:right="0" w:firstLine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Пути передачи</w:t>
      </w:r>
      <w:r>
        <w:rPr>
          <w:rFonts w:ascii="Times New Roman" w:hAnsi="Times New Roman" w:eastAsia="Times New Roman" w:cs="Times New Roman"/>
          <w:b/>
          <w:color w:val="001d3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2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Контактный: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2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Через поврежденную кожу или слизистые при контакте с зараженными животными, их экскрементами, водой, почвой.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2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Трансмиссивный: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2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Через укус зараженных насекомых (клещей, комаров).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2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Алиментарный: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2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Употребление зараженной пищи (овощи, фрукты) или воды.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2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Воздушно-пылевой: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2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Вдыхание пыли, содержащей бактерии, при работе с сеном, зерном, соломой.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300" w:after="15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Формы туляремии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300" w:after="15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В зависимости от пути заражения выделяют различные формы заболевания: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3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Бубонная: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3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Возбудитель проникает через кожу, развивается воспаление регионарных лимфоузлов (бубонов).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3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Язвенно-бубонная: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3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На месте внедрения инфекции формируется язва, а также увеличиваются лимфоузлы.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3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Глазобубонная: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3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Заражение происходит при попадании возбудителя в глаза, что вызывает конъюнктивит и поражение лимфоузлов около уха.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3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Ангинозно-бубонная: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3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Поражение слизистой миндалин, часто связано с алиментарным путем заражения.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3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Легочная: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3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Возникает при вдыхании возбудителя или при распространении инфекции на легкие.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300" w:after="150" w:line="420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Симптомы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84"/>
        <w:numPr>
          <w:ilvl w:val="0"/>
          <w:numId w:val="4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Общие: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4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Внезапное повышение температуры до 38-39 °С, сильная головная боль, слабость, мышечные боли.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4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Местные: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4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Увеличение и болезненность регионарных лимфатических узлов (бубоны) в месте проникновения инфекции.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4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Возможные осложнения: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4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Пневмония, бронхит, нагноение лимфатических узлов.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300" w:after="15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Профилактика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6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Вакцинация: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6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Специфическая профилактика проводится живой туляремийной вакциной.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6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1d35"/>
          <w:sz w:val="28"/>
          <w:szCs w:val="28"/>
        </w:rPr>
        <w:t xml:space="preserve">Меры предосторожности: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numPr>
          <w:ilvl w:val="0"/>
          <w:numId w:val="6"/>
        </w:numPr>
        <w:ind w:right="0"/>
        <w:jc w:val="both"/>
        <w:spacing w:line="36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1d35"/>
          <w:spacing w:val="1"/>
          <w:sz w:val="28"/>
          <w:szCs w:val="28"/>
        </w:rPr>
        <w:t xml:space="preserve">Истребление грызунов, защита пищи и воды от доступа грызунов, использование защитной одежды при контакте с животными.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8"/>
        <w:jc w:val="both"/>
        <w:spacing w:line="25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Природные очаги туляремии распространены на всех 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нтинентах Северного полушария в Европе, Азии и Северной Америке. Заболевания людей регистрируются в виде спорадических случаев и эпидемических вспышек в Австрии, Венгрии, Германии, Норвегии, Российской Федерации, Словакии, Турции, Чехии, Швеции, Финляндии.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right="-79"/>
        <w:jc w:val="both"/>
        <w:spacing w:line="25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Рост заболеваемости наблюдается в годы повышения численности грызунов.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36" w:right="-1" w:firstLine="0"/>
        <w:jc w:val="both"/>
        <w:spacing w:line="25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Возбудитель туляремии устойчив во внешней среде, особенно при низкой температуре.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36" w:right="-1" w:firstLine="0"/>
        <w:jc w:val="both"/>
        <w:spacing w:line="25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почве сохраняется от 2 недель до 2 месяцев, в воде до 3 месяцев, в шкурках павших от туляремии грызунов ‒ до месяца, в зерне и соломе в зависимости от температурных условий от 3 недель до 6 месяцев.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right="-18"/>
        <w:jc w:val="both"/>
        <w:spacing w:line="25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пищевых продуктах (молоко, хлеб, мясо) ‒ от 8 до 30 дней, в мороженом мясе до 3 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сяцев. При выраженной устойчивости во внешней среде при низких температурах возбудитель туляремии весьма чувствителен к различным физическим факторам – солнечные, ультрафиолетовые лучи, ионизирующее излучение, высокая температура, а также к дезинфектантам.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right="-20"/>
        <w:jc w:val="both"/>
        <w:spacing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Симптомы и течение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right="-66"/>
        <w:jc w:val="both"/>
        <w:spacing w:line="250" w:lineRule="auto"/>
        <w:widowControl w:val="off"/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Клинические проявления болезни появляются спустя 3-6 дней после заражения. Заболевание начинается внезапно: повышается температура тела до 39-40 градусов, появляется сильная головная боль, резкая слабость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боли в мышцах, сильная потливость по ночам. Заболевание сопровождается болезненностью и увеличением лимфатических узлов в какой-либо определённой части тела (в области шеи, под мышкой, в паху) всегда вблизи того места, где микробы проникли в организм. Ес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ли заражение произошло через кожу, то в месте проникновения микробов появляется покраснение, нагноение, язва, одновременно увеличивается и становиться болезненным ближайший лимфатический узел. Если заражение произошло через слизистые оболочки глаза, развив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ается конъюнктивит и лимфаденит околоушных и подчелюстных лимфоузлов. При попадании возбудителя в организм через дыхательные пути развивается воспаление лёгких, через рот, в миндалины – ангина с резким увеличением подчелюстных и шейных лимфатических узлов.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При осмотре отмечается гиперемия лица, конъюнктивы и слизистых оболочек ротовой полости, носоглотки, пастозность, инъекция склер. В некоторых случаях обнаруживают экзантему (сыпь на коже) различного типа. Лихорадка длится от 6 до 30 дней.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Неспецифическая профилактика: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r>
    </w:p>
    <w:p>
      <w:pPr>
        <w:ind w:left="451" w:right="522" w:hanging="451"/>
        <w:jc w:val="both"/>
        <w:spacing w:line="235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дератизационные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(борьба с грызунами – источниками возбудителя) и дезинсекционные мероприятия (борьба с членистоногими – переносчиками возбудителя);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451" w:right="1681" w:hanging="451"/>
        <w:jc w:val="both"/>
        <w:spacing w:line="236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защита от укусов кровососущих насекомых и клещей (использование репеллентов и защитной одежды);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использование для питьевых целей кипячёной или бутилированной воды;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451" w:right="109" w:hanging="451"/>
        <w:jc w:val="both"/>
        <w:spacing w:line="236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защита водоисточников, пищевых продуктов и сельскохозяйственного сырья от грызунов;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451" w:right="739" w:hanging="451"/>
        <w:jc w:val="both"/>
        <w:spacing w:line="235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использование индивидуальных средств защиты органов дыхания при выполнении сельскохозяйственных работ, связанных с пылеобразованием;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451" w:right="46" w:hanging="451"/>
        <w:jc w:val="both"/>
        <w:spacing w:line="235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соблюдение санитарно-гигиенических и технологических требований при охоте и разделке тушек диких животных (зайцы, ондатры, грызуны).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451" w:right="46" w:hanging="451"/>
        <w:jc w:val="both"/>
        <w:spacing w:line="235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Специфическая: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Вакцинация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right="-76" w:firstLine="139"/>
        <w:jc w:val="both"/>
        <w:spacing w:line="249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 xml:space="preserve">Подлежащие лица для вакцинопрофилактики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right="-67"/>
        <w:jc w:val="both"/>
        <w:spacing w:line="25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Лица, проживающие на территории активных природных очагов туляремии, а также прибывшие на эти территории и выполняющие следующие работы: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right="4010"/>
        <w:jc w:val="both"/>
        <w:spacing w:line="25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сельскохозяйственные, гидромелиоративные, строительные, другие работы;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4010"/>
        <w:jc w:val="both"/>
        <w:spacing w:line="25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выемке и перемещению грунта, заготовительные, промысловые;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геологические, изыскательские, экспедиционные, дезинсекционные;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дератизационные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дезинфекционные;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right="1071"/>
        <w:jc w:val="both"/>
        <w:spacing w:line="25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лесозаготовке, расчистке и благоустройству леса, по отлову грызунов и кровососущих насекомых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лица, работающие с живыми культурами возбудителя туляремии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1071"/>
        <w:jc w:val="both"/>
        <w:spacing w:line="25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Республике Беларусь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ежегодно регистрируются единичные случаи заболевания туляремией.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28031" cy="1633039"/>
                <wp:effectExtent l="0" t="0" r="0" b="0"/>
                <wp:docPr id="3" name="Рисунок 4" descr="tularem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0878723" name="tularemia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828030" cy="1633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22.68pt;height:128.59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52342" cy="1633039"/>
                <wp:effectExtent l="0" t="0" r="0" b="0"/>
                <wp:docPr id="4" name="Рисунок 2" descr="31081256_340x25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955444" name="31081256_340x25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2452341" cy="1633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93.10pt;height:128.59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1340" cy="1744966"/>
                <wp:effectExtent l="0" t="0" r="0" b="0"/>
                <wp:docPr id="5" name="Рисунок 10" descr="art2282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8254757" name="art2282_2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2561339" cy="1744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01.68pt;height:137.4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08200" cy="1744966"/>
                <wp:effectExtent l="0" t="0" r="0" b="0"/>
                <wp:docPr id="6" name="Рисунок 0" descr="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9537592" name="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2108199" cy="1744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66.00pt;height:137.4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56"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Бубонная 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УЗ «36городская поликлиника»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426" w:right="424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1d3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1d3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1d3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1d3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1d3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1d3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1d3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1d3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1d3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1d3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1d3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1d3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1d3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1d3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1d3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1d3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1d3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1d3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1d3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1d3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1d3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1d3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1d3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1d3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1d3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1d3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1d3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1d3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1d3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1d3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1d3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1d3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1d3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1d3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1d3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1d3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1d3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1d3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1d3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1d3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1d3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1d3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1d3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1d3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1d3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1d3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1d3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1d3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1d3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1d3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1d3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1d3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1d3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1d3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5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5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5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5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unhideWhenUsed/>
  </w:style>
  <w:style w:type="table" w:styleId="8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Balloon Text"/>
    <w:basedOn w:val="844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5"/>
    <w:link w:val="84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png"/><Relationship Id="rId13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CreaStyle</dc:creator>
  <cp:keywords/>
  <dc:description/>
  <cp:lastModifiedBy>User</cp:lastModifiedBy>
  <cp:revision>9</cp:revision>
  <dcterms:created xsi:type="dcterms:W3CDTF">2013-09-04T17:10:00Z</dcterms:created>
  <dcterms:modified xsi:type="dcterms:W3CDTF">2025-10-06T11:50:19Z</dcterms:modified>
</cp:coreProperties>
</file>