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both"/>
        <w:rPr>
          <w:rFonts w:ascii="Times New Roman" w:hAnsi="Times New Roman" w:eastAsia="Times New Roman" w:cs="Times New Roman"/>
          <w:b/>
          <w:bCs/>
          <w:color w:val="3c4245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27815" cy="2571750"/>
                <wp:effectExtent l="0" t="0" r="0" b="0"/>
                <wp:docPr id="1" name=""/>
                <wp:cNvGraphicFramePr>
                  <a:graphicFrameLocks xmlns:a="http://schemas.openxmlformats.org/drawingml/2006/main" noChangeAspect="1" noGrp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9419377" name="Рисунок 10"/>
                        <pic:cNvPicPr>
                          <a:picLocks noChangeAspect="1" noGrp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927814" cy="2571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9.28pt;height:202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3c4245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ЧТО НАДО ЗНАТЬ О ХОЛЕРЕ.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c4245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3c4245"/>
          <w:sz w:val="28"/>
          <w:szCs w:val="28"/>
          <w:highlight w:val="none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Министерство здравоохранения Республики Беларусь информирует, что по данным Всемирной организации здравоохранения эпидемиологическая ситуация в мире по заболеваемости холерой остается напряженной.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Наблюдается высокая активность эпидемического процесса в эндемичных странах Азии (Индии, Бангладеш, Таиланде) и Африки (Сомали, Бурунди, Замбии, Зимбабве, Нигерии, Эф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иопии, Кении, Камеруне, Демократической Республике Конго, Мозамбике). С 2014 по 2024 годы холера зарегистрирована в 87 странах, 500 административных территориях, из которых 94 эндемичны.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pStyle w:val="685"/>
        <w:jc w:val="both"/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49410" cy="2447839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847653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349409" cy="2447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42.47pt;height:192.74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/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pStyle w:val="685"/>
        <w:jc w:val="both"/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pStyle w:val="685"/>
        <w:jc w:val="both"/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pStyle w:val="685"/>
        <w:jc w:val="both"/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pStyle w:val="685"/>
        <w:jc w:val="both"/>
        <w:rPr>
          <w:rFonts w:ascii="Times New Roman" w:hAnsi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highlight w:val="none"/>
          <w:lang w:val="ru-RU" w:eastAsia="ru-RU" w:bidi="ru-RU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8"/>
          <w:szCs w:val="28"/>
          <w:lang w:val="ru-RU" w:eastAsia="ru-RU" w:bidi="ru-RU"/>
        </w:rPr>
        <w:t xml:space="preserve">Возрастающая активность миграционных процессов, в том числе с гуманитарной и туристической целями, чрезвычайные ситуации природного и социального характеров в мире повышают риск ухудшения эпидемиологической ситуации по холере в Республике Беларусь.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3c4245"/>
          <w:sz w:val="28"/>
          <w:szCs w:val="28"/>
        </w:rPr>
        <w:t xml:space="preserve">Холера остается глобальной угрозой для здоровья населения.</w:t>
      </w:r>
      <w:r>
        <w:rPr>
          <w:rFonts w:ascii="Times New Roman" w:hAnsi="Times New Roman" w:eastAsia="Times New Roman" w:cs="Times New Roman"/>
          <w:color w:val="3c4245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3c4245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c4245"/>
          <w:sz w:val="28"/>
          <w:szCs w:val="28"/>
        </w:rPr>
        <w:t xml:space="preserve">Холера — чрезвычайно заразная болезнь, передающаяся через попадание в организм зараженных пищевых продуктов или воды</w:t>
      </w:r>
      <w:r>
        <w:rPr>
          <w:rFonts w:ascii="Times New Roman" w:hAnsi="Times New Roman" w:eastAsia="Times New Roman" w:cs="Times New Roman"/>
          <w:color w:val="3c4245"/>
          <w:sz w:val="28"/>
          <w:szCs w:val="28"/>
        </w:rPr>
        <w:t xml:space="preserve"> Холера может вызвать тяжелую острую водянистую диарею, а тяжелая форма этого заболевания при отсутствии лечения может через несколько часов закончиться смертельным исходом.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c4245"/>
          <w:sz w:val="28"/>
          <w:szCs w:val="28"/>
        </w:rPr>
        <w:t xml:space="preserve">У большинства людей, инфицированных бактерией </w:t>
      </w:r>
      <w:r>
        <w:rPr>
          <w:rFonts w:ascii="Times New Roman" w:hAnsi="Times New Roman" w:eastAsia="Times New Roman" w:cs="Times New Roman"/>
          <w:i/>
          <w:color w:val="3c4245"/>
          <w:sz w:val="28"/>
          <w:szCs w:val="28"/>
        </w:rPr>
        <w:t xml:space="preserve">V. cholerae</w:t>
      </w:r>
      <w:r>
        <w:rPr>
          <w:rFonts w:ascii="Times New Roman" w:hAnsi="Times New Roman" w:eastAsia="Times New Roman" w:cs="Times New Roman"/>
          <w:color w:val="3c4245"/>
          <w:sz w:val="28"/>
          <w:szCs w:val="28"/>
        </w:rPr>
        <w:t xml:space="preserve">, не развивается никаких симптомов, хотя в течение 1–10 дней после инфицирования в их фекалиях присутствуют бактерии, которые, поступая обратно в окружающую среду, могут заражать других людей.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color w:val="3c4245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3c4245"/>
          <w:sz w:val="28"/>
          <w:szCs w:val="28"/>
        </w:rPr>
        <w:t xml:space="preserve">Для проявления симптомов требуется от 12 часов до 5 дней. У пациентов развивается острая водянистая диарея с сильным обезвоживанием. </w:t>
      </w:r>
      <w:r>
        <w:rPr>
          <w:rFonts w:ascii="Times New Roman" w:hAnsi="Times New Roman" w:eastAsia="Times New Roman" w:cs="Times New Roman"/>
          <w:color w:val="3c4245"/>
          <w:sz w:val="28"/>
          <w:szCs w:val="28"/>
          <w:highlight w:val="white"/>
        </w:rPr>
        <w:t xml:space="preserve">Важнейшую роль в борьбе с холерой и сокращении смертности от нее играет многосторонний подход. Он предусматривает сочетание таких мер, как мероприятия по улучшению водоснабжения, санитарии и гигиены, мобилизация общественности, лечение и примен</w:t>
      </w:r>
      <w:r>
        <w:rPr>
          <w:rFonts w:ascii="Times New Roman" w:hAnsi="Times New Roman" w:eastAsia="Times New Roman" w:cs="Times New Roman"/>
          <w:color w:val="3c4245"/>
          <w:sz w:val="28"/>
          <w:szCs w:val="28"/>
          <w:highlight w:val="white"/>
        </w:rPr>
        <w:t xml:space="preserve">ение оральных вакцин против холеры</w:t>
      </w:r>
      <w:r>
        <w:rPr>
          <w:rFonts w:ascii="Times New Roman" w:hAnsi="Times New Roman" w:eastAsia="Times New Roman" w:cs="Times New Roman"/>
          <w:color w:val="3c4245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3c4245"/>
          <w:sz w:val="28"/>
          <w:szCs w:val="28"/>
          <w:highlight w:val="white"/>
        </w:rPr>
      </w:r>
    </w:p>
    <w:p>
      <w:pPr>
        <w:pStyle w:val="685"/>
        <w:jc w:val="both"/>
        <w:rPr>
          <w:rFonts w:ascii="Times New Roman" w:hAnsi="Times New Roman" w:eastAsia="Times New Roman" w:cs="Times New Roman"/>
          <w:color w:val="465a63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Симптомы заболевания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85"/>
        <w:jc w:val="both"/>
        <w:rPr>
          <w:rFonts w:ascii="Times New Roman" w:hAnsi="Times New Roman" w:eastAsia="Times New Roman" w:cs="Times New Roman"/>
          <w:b/>
          <w:bCs/>
          <w:color w:val="465a6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465a63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08815" cy="2246333"/>
                <wp:effectExtent l="0" t="0" r="0" b="0"/>
                <wp:docPr id="3" name=""/>
                <wp:cNvGraphicFramePr>
                  <a:graphicFrameLocks xmlns:a="http://schemas.openxmlformats.org/drawingml/2006/main" noChangeAspect="1" noGrp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69206" name="Рисунок 11"/>
                        <pic:cNvPicPr>
                          <a:picLocks noChangeAspect="1" noGrp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308814" cy="2246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39.28pt;height:176.8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465a63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Симптомы холеры разнообразны и включают следующие моменты: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—повышенная температура (37-38), которая с развитием болезни может наоборот —понизиться (до 34-35 градусов);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—озноб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—обильная и водянистая диарея. Цвет стула разный: он может быть желто-зеленым, а может быть коричневым;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—рвота. Часто она возникает без позывов, внезапно;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—урчание в животе, метеоризм, легкие боли;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—ощущение, что живот переполнен большим количеством жидкости;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eastAsia="Times New Roman" w:cs="Times New Roman"/>
          <w:color w:val="465a63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—ощущение сухости. Губы сохнут, постоянно хочется пить, наблюдается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 слабость. В ряде случаев губы могут синеть;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—понижение артериального давления, что связано с обезвоженностью организма;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—головные боли – причем сама боль локализуется в лобной части.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465a63"/>
          <w:sz w:val="28"/>
          <w:szCs w:val="28"/>
        </w:rPr>
        <w:t xml:space="preserve">Профилактические меры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Профилактика холеры заключается в следующем: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—избегать тех стран и регионов, в которых вспышки болезни наблюдаются регулярно;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—употреблять в пищу только ту еду, которая прошла термическую обработку или была хорошо вымыта с мыльным раствором;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—употреблять исключительно чистую воду из тех источников, которые для этого предназначены;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—регулярно мыть руки;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—хранить продукты в подходящих для этого условиях – вдали от мест, где на них садятся насекомые.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Также рекомендуется следить за обстановкой в регионе, и если поблизости выявлены вспышки холеры, требуется усиливать контроль за гигиеной, качеством продуктов.</w:t>
      </w:r>
      <w:r>
        <w:rPr>
          <w:rFonts w:ascii="Times New Roman" w:hAnsi="Times New Roman" w:eastAsia="Times New Roman" w:cs="Times New Roman"/>
          <w:color w:val="535252"/>
          <w:sz w:val="28"/>
          <w:szCs w:val="28"/>
        </w:rPr>
        <w:t xml:space="preserve">делать вакцину от холеры, рекомендованную ВОЗ. В разных странах иммунизация населения проводится централизованно и строго контролируется.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465a63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41338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42670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3600" cy="4133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8.00pt;height:325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535252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continuous"/>
      <w:pgSz w:w="11900" w:h="16840" w:orient="portrait"/>
      <w:pgMar w:top="663" w:right="452" w:bottom="757" w:left="1406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Arial">
    <w:panose1 w:val="020B060402020202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0"/>
        <w:szCs w:val="30"/>
        <w:u w:val="none"/>
        <w:lang w:val="ru-RU" w:eastAsia="ru-RU" w:bidi="ru-RU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5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shd w:val="clear" w:color="auto" w:fill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5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5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5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5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5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5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5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5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5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5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5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basedOn w:val="845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basedOn w:val="845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pPr>
      <w:ind w:left="0" w:right="0" w:firstLine="0"/>
      <w:jc w:val="left"/>
      <w:keepLines w:val="0"/>
      <w:keepNext w:val="0"/>
      <w:spacing w:before="0" w:after="0" w:line="240" w:lineRule="auto"/>
      <w:shd w:val="clear" w:color="auto" w:fill="auto"/>
      <w:widowControl w:val="off"/>
    </w:pPr>
    <w:rPr>
      <w:rFonts w:ascii="Courier New" w:hAnsi="Courier New" w:eastAsia="Courier New" w:cs="Courier New"/>
      <w:color w:val="000000"/>
      <w:spacing w:val="0"/>
      <w:position w:val="0"/>
      <w:sz w:val="24"/>
      <w:szCs w:val="24"/>
      <w:lang w:val="ru-RU" w:eastAsia="ru-RU" w:bidi="ru-RU"/>
    </w:rPr>
  </w:style>
  <w:style w:type="character" w:styleId="845" w:default="1">
    <w:name w:val="Default Paragraph Font"/>
    <w:rPr>
      <w:rFonts w:ascii="Courier New" w:hAnsi="Courier New" w:eastAsia="Courier New" w:cs="Courier New"/>
      <w:color w:val="000000"/>
      <w:spacing w:val="0"/>
      <w:position w:val="0"/>
      <w:sz w:val="24"/>
      <w:szCs w:val="24"/>
      <w:lang w:val="ru-RU" w:eastAsia="ru-RU" w:bidi="ru-RU"/>
    </w:rPr>
  </w:style>
  <w:style w:type="character" w:styleId="846" w:customStyle="1">
    <w:name w:val="Основной текст (3)_"/>
    <w:basedOn w:val="845"/>
    <w:link w:val="85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styleId="847" w:customStyle="1">
    <w:name w:val="Основной текст (3) + Полужирный"/>
    <w:basedOn w:val="846"/>
    <w:rPr>
      <w:b/>
      <w:bCs/>
      <w:color w:val="000000"/>
      <w:position w:val="0"/>
      <w:sz w:val="24"/>
      <w:szCs w:val="24"/>
      <w:lang w:val="ru-RU" w:eastAsia="ru-RU" w:bidi="ru-RU"/>
    </w:rPr>
  </w:style>
  <w:style w:type="character" w:styleId="848" w:customStyle="1">
    <w:name w:val="Основной текст (4)_"/>
    <w:basedOn w:val="845"/>
    <w:link w:val="8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849" w:customStyle="1">
    <w:name w:val="Основной текст (4) + 8 pt,Малые прописные"/>
    <w:basedOn w:val="848"/>
    <w:rPr>
      <w:smallCaps/>
      <w:color w:val="000000"/>
      <w:spacing w:val="0"/>
      <w:position w:val="0"/>
      <w:sz w:val="16"/>
      <w:szCs w:val="16"/>
      <w:lang w:val="ru-RU" w:eastAsia="ru-RU" w:bidi="ru-RU"/>
    </w:rPr>
  </w:style>
  <w:style w:type="character" w:styleId="850" w:customStyle="1">
    <w:name w:val="Основной текст (4) + 13 pt,Курсив"/>
    <w:basedOn w:val="848"/>
    <w:rPr>
      <w:i/>
      <w:iCs/>
      <w:color w:val="000000"/>
      <w:spacing w:val="0"/>
      <w:position w:val="0"/>
      <w:sz w:val="26"/>
      <w:szCs w:val="26"/>
      <w:lang w:val="ru-RU" w:eastAsia="ru-RU" w:bidi="ru-RU"/>
    </w:rPr>
  </w:style>
  <w:style w:type="character" w:styleId="851" w:customStyle="1">
    <w:name w:val="Основной текст (2) Exact"/>
    <w:basedOn w:val="84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styleId="852" w:customStyle="1">
    <w:name w:val="Основной текст (2)_"/>
    <w:basedOn w:val="845"/>
    <w:link w:val="85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styleId="853" w:customStyle="1">
    <w:name w:val="Основной текст (2) + Курсив"/>
    <w:basedOn w:val="852"/>
    <w:rPr>
      <w:i/>
      <w:iCs/>
      <w:color w:val="000000"/>
      <w:spacing w:val="0"/>
      <w:position w:val="0"/>
      <w:lang w:val="ru-RU" w:eastAsia="ru-RU" w:bidi="ru-RU"/>
    </w:rPr>
  </w:style>
  <w:style w:type="character" w:styleId="854" w:customStyle="1">
    <w:name w:val="Основной текст (2)"/>
    <w:basedOn w:val="852"/>
    <w:rPr>
      <w:color w:val="000000"/>
      <w:spacing w:val="0"/>
      <w:position w:val="0"/>
      <w:lang w:val="ru-RU" w:eastAsia="ru-RU" w:bidi="ru-RU"/>
    </w:rPr>
  </w:style>
  <w:style w:type="character" w:styleId="855" w:customStyle="1">
    <w:name w:val="Основной текст (5)_"/>
    <w:basedOn w:val="845"/>
    <w:link w:val="85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856" w:customStyle="1">
    <w:name w:val="Основной текст (3)"/>
    <w:basedOn w:val="844"/>
    <w:link w:val="846"/>
    <w:pPr>
      <w:jc w:val="center"/>
      <w:spacing w:after="100" w:line="274" w:lineRule="exact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paragraph" w:styleId="857" w:customStyle="1">
    <w:name w:val="Основной текст (4)"/>
    <w:basedOn w:val="844"/>
    <w:link w:val="848"/>
    <w:pPr>
      <w:jc w:val="center"/>
      <w:spacing w:before="100" w:line="187" w:lineRule="exact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858" w:customStyle="1">
    <w:name w:val="Основной текст (2)"/>
    <w:basedOn w:val="844"/>
    <w:link w:val="852"/>
    <w:pPr>
      <w:spacing w:after="560" w:line="332" w:lineRule="exact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styleId="859" w:customStyle="1">
    <w:name w:val="Основной текст (5)"/>
    <w:basedOn w:val="844"/>
    <w:link w:val="855"/>
    <w:pPr>
      <w:jc w:val="center"/>
      <w:spacing w:after="300" w:line="310" w:lineRule="exact"/>
      <w:shd w:val="clear" w:color="auto" w:fill="ffffff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numbering" w:styleId="860" w:default="1">
    <w:name w:val="No List"/>
    <w:uiPriority w:val="99"/>
    <w:semiHidden/>
    <w:unhideWhenUsed/>
  </w:style>
  <w:style w:type="table" w:styleId="8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modified xsi:type="dcterms:W3CDTF">2024-09-19T10:54:59Z</dcterms:modified>
</cp:coreProperties>
</file>